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BBE" w:rsidRPr="00615AD2" w:rsidRDefault="00305BBE" w:rsidP="00305BBE">
      <w:pPr>
        <w:rPr>
          <w:sz w:val="23"/>
          <w:szCs w:val="23"/>
        </w:rPr>
      </w:pPr>
      <w:r w:rsidRPr="00615AD2">
        <w:rPr>
          <w:sz w:val="23"/>
          <w:szCs w:val="23"/>
        </w:rPr>
        <w:t>Christopher Stone, P.E.</w:t>
      </w:r>
    </w:p>
    <w:p w:rsidR="00305BBE" w:rsidRPr="00615AD2" w:rsidRDefault="00305BBE" w:rsidP="00305BBE">
      <w:pPr>
        <w:rPr>
          <w:sz w:val="23"/>
          <w:szCs w:val="23"/>
        </w:rPr>
      </w:pPr>
      <w:r w:rsidRPr="00615AD2">
        <w:rPr>
          <w:sz w:val="23"/>
          <w:szCs w:val="23"/>
        </w:rPr>
        <w:t>Water Permitting and Enforcement Division</w:t>
      </w:r>
    </w:p>
    <w:p w:rsidR="00305BBE" w:rsidRPr="00615AD2" w:rsidRDefault="00305BBE" w:rsidP="00305BBE">
      <w:pPr>
        <w:rPr>
          <w:sz w:val="23"/>
          <w:szCs w:val="23"/>
        </w:rPr>
      </w:pPr>
      <w:r w:rsidRPr="00615AD2">
        <w:rPr>
          <w:sz w:val="23"/>
          <w:szCs w:val="23"/>
        </w:rPr>
        <w:t>Bureau of Materials Management and Compliance Assurance</w:t>
      </w:r>
    </w:p>
    <w:p w:rsidR="00305BBE" w:rsidRPr="00615AD2" w:rsidRDefault="00305BBE" w:rsidP="00305BBE">
      <w:pPr>
        <w:rPr>
          <w:sz w:val="23"/>
          <w:szCs w:val="23"/>
        </w:rPr>
      </w:pPr>
      <w:r w:rsidRPr="00615AD2">
        <w:rPr>
          <w:sz w:val="23"/>
          <w:szCs w:val="23"/>
        </w:rPr>
        <w:t>Department of Energy and Environmental Protection</w:t>
      </w:r>
    </w:p>
    <w:p w:rsidR="00305BBE" w:rsidRPr="00615AD2" w:rsidRDefault="00305BBE" w:rsidP="00305BBE">
      <w:pPr>
        <w:rPr>
          <w:sz w:val="23"/>
          <w:szCs w:val="23"/>
        </w:rPr>
      </w:pPr>
      <w:r w:rsidRPr="00615AD2">
        <w:rPr>
          <w:sz w:val="23"/>
          <w:szCs w:val="23"/>
        </w:rPr>
        <w:t xml:space="preserve">79 Elm Street </w:t>
      </w:r>
    </w:p>
    <w:p w:rsidR="00305BBE" w:rsidRPr="00615AD2" w:rsidRDefault="00305BBE" w:rsidP="00305BBE">
      <w:pPr>
        <w:rPr>
          <w:sz w:val="23"/>
          <w:szCs w:val="23"/>
        </w:rPr>
      </w:pPr>
      <w:r w:rsidRPr="00615AD2">
        <w:rPr>
          <w:sz w:val="23"/>
          <w:szCs w:val="23"/>
        </w:rPr>
        <w:t>Hartford, CT 06106 5127</w:t>
      </w:r>
    </w:p>
    <w:p w:rsidR="00305BBE" w:rsidRPr="00615AD2" w:rsidRDefault="00305BBE" w:rsidP="00305BBE">
      <w:pPr>
        <w:rPr>
          <w:sz w:val="23"/>
          <w:szCs w:val="23"/>
        </w:rPr>
      </w:pPr>
    </w:p>
    <w:p w:rsidR="00305BBE" w:rsidRPr="00615AD2" w:rsidRDefault="00305BBE" w:rsidP="00305BBE">
      <w:pPr>
        <w:rPr>
          <w:sz w:val="23"/>
          <w:szCs w:val="23"/>
        </w:rPr>
      </w:pPr>
    </w:p>
    <w:p w:rsidR="00305BBE" w:rsidRPr="00615AD2" w:rsidRDefault="00305BBE" w:rsidP="00305BBE">
      <w:pPr>
        <w:rPr>
          <w:sz w:val="23"/>
          <w:szCs w:val="23"/>
        </w:rPr>
      </w:pPr>
      <w:r w:rsidRPr="00615AD2">
        <w:rPr>
          <w:sz w:val="23"/>
          <w:szCs w:val="23"/>
        </w:rPr>
        <w:t>Mr. Stone,</w:t>
      </w:r>
    </w:p>
    <w:p w:rsidR="00305BBE" w:rsidRPr="00615AD2" w:rsidRDefault="00305BBE" w:rsidP="00305BBE">
      <w:pPr>
        <w:rPr>
          <w:sz w:val="23"/>
          <w:szCs w:val="23"/>
        </w:rPr>
      </w:pPr>
    </w:p>
    <w:p w:rsidR="00305BBE" w:rsidRPr="00615AD2" w:rsidRDefault="00305BBE" w:rsidP="00305BBE">
      <w:pPr>
        <w:rPr>
          <w:sz w:val="23"/>
          <w:szCs w:val="23"/>
        </w:rPr>
      </w:pPr>
      <w:r>
        <w:rPr>
          <w:sz w:val="23"/>
          <w:szCs w:val="23"/>
        </w:rPr>
        <w:t>I am writing to you in support of Trout</w:t>
      </w:r>
      <w:r w:rsidRPr="00615AD2">
        <w:rPr>
          <w:sz w:val="23"/>
          <w:szCs w:val="23"/>
        </w:rPr>
        <w:t xml:space="preserve"> Unlimite</w:t>
      </w:r>
      <w:r>
        <w:rPr>
          <w:sz w:val="23"/>
          <w:szCs w:val="23"/>
        </w:rPr>
        <w:t>d’</w:t>
      </w:r>
      <w:r w:rsidRPr="00615AD2">
        <w:rPr>
          <w:sz w:val="23"/>
          <w:szCs w:val="23"/>
        </w:rPr>
        <w:t>s (</w:t>
      </w:r>
      <w:proofErr w:type="spellStart"/>
      <w:r w:rsidRPr="00615AD2">
        <w:rPr>
          <w:sz w:val="23"/>
          <w:szCs w:val="23"/>
        </w:rPr>
        <w:t>TU</w:t>
      </w:r>
      <w:proofErr w:type="spellEnd"/>
      <w:r w:rsidRPr="00615AD2">
        <w:rPr>
          <w:sz w:val="23"/>
          <w:szCs w:val="23"/>
        </w:rPr>
        <w:t xml:space="preserve">) proposed changes to the </w:t>
      </w:r>
      <w:r w:rsidRPr="00615AD2">
        <w:rPr>
          <w:i/>
          <w:sz w:val="23"/>
          <w:szCs w:val="23"/>
        </w:rPr>
        <w:t>General Permit for the Discharge of Stormwater and Dewatering Wastewaters from</w:t>
      </w:r>
      <w:r>
        <w:rPr>
          <w:i/>
          <w:sz w:val="23"/>
          <w:szCs w:val="23"/>
        </w:rPr>
        <w:t xml:space="preserve"> </w:t>
      </w:r>
      <w:r w:rsidRPr="00615AD2">
        <w:rPr>
          <w:i/>
          <w:sz w:val="23"/>
          <w:szCs w:val="23"/>
        </w:rPr>
        <w:t>Construction Activities</w:t>
      </w:r>
      <w:r>
        <w:rPr>
          <w:sz w:val="23"/>
          <w:szCs w:val="23"/>
        </w:rPr>
        <w:t xml:space="preserve">. </w:t>
      </w:r>
      <w:proofErr w:type="spellStart"/>
      <w:r>
        <w:rPr>
          <w:sz w:val="23"/>
          <w:szCs w:val="23"/>
        </w:rPr>
        <w:t>TU’s</w:t>
      </w:r>
      <w:proofErr w:type="spellEnd"/>
      <w:r>
        <w:rPr>
          <w:sz w:val="23"/>
          <w:szCs w:val="23"/>
        </w:rPr>
        <w:t xml:space="preserve"> </w:t>
      </w:r>
      <w:r w:rsidRPr="00615AD2">
        <w:rPr>
          <w:sz w:val="23"/>
          <w:szCs w:val="23"/>
        </w:rPr>
        <w:t xml:space="preserve">proposed changes will help protect </w:t>
      </w:r>
      <w:r>
        <w:rPr>
          <w:sz w:val="23"/>
          <w:szCs w:val="23"/>
        </w:rPr>
        <w:t>sensitive coldwater ecosystems, including the</w:t>
      </w:r>
      <w:r w:rsidR="00912BD1">
        <w:rPr>
          <w:sz w:val="23"/>
          <w:szCs w:val="23"/>
        </w:rPr>
        <w:t xml:space="preserve"> wild</w:t>
      </w:r>
      <w:r>
        <w:rPr>
          <w:sz w:val="23"/>
          <w:szCs w:val="23"/>
        </w:rPr>
        <w:t xml:space="preserve"> brook trout and </w:t>
      </w:r>
      <w:r w:rsidR="00912BD1">
        <w:rPr>
          <w:sz w:val="23"/>
          <w:szCs w:val="23"/>
        </w:rPr>
        <w:t xml:space="preserve">wild </w:t>
      </w:r>
      <w:r>
        <w:rPr>
          <w:sz w:val="23"/>
          <w:szCs w:val="23"/>
        </w:rPr>
        <w:t xml:space="preserve">brown trout that rely on </w:t>
      </w:r>
      <w:r w:rsidR="00912BD1">
        <w:rPr>
          <w:sz w:val="23"/>
          <w:szCs w:val="23"/>
        </w:rPr>
        <w:t>clean cold water</w:t>
      </w:r>
      <w:r>
        <w:rPr>
          <w:sz w:val="23"/>
          <w:szCs w:val="23"/>
        </w:rPr>
        <w:t xml:space="preserve"> for</w:t>
      </w:r>
      <w:r w:rsidR="00912BD1">
        <w:rPr>
          <w:sz w:val="23"/>
          <w:szCs w:val="23"/>
        </w:rPr>
        <w:t xml:space="preserve"> their</w:t>
      </w:r>
      <w:r>
        <w:rPr>
          <w:sz w:val="23"/>
          <w:szCs w:val="23"/>
        </w:rPr>
        <w:t xml:space="preserve"> survival. </w:t>
      </w:r>
      <w:r w:rsidR="009B2725">
        <w:rPr>
          <w:sz w:val="23"/>
          <w:szCs w:val="23"/>
        </w:rPr>
        <w:t xml:space="preserve">The addition the amendments that </w:t>
      </w:r>
      <w:proofErr w:type="spellStart"/>
      <w:r w:rsidR="009B2725">
        <w:rPr>
          <w:sz w:val="23"/>
          <w:szCs w:val="23"/>
        </w:rPr>
        <w:t>TU</w:t>
      </w:r>
      <w:proofErr w:type="spellEnd"/>
      <w:r w:rsidR="009B2725">
        <w:rPr>
          <w:sz w:val="23"/>
          <w:szCs w:val="23"/>
        </w:rPr>
        <w:t xml:space="preserve"> and I are in support of are:</w:t>
      </w:r>
    </w:p>
    <w:p w:rsidR="00305BBE" w:rsidRDefault="009B2725" w:rsidP="00305BBE">
      <w:pPr>
        <w:rPr>
          <w:sz w:val="23"/>
          <w:szCs w:val="23"/>
        </w:rPr>
      </w:pPr>
      <w:r>
        <w:rPr>
          <w:noProof/>
          <w:sz w:val="23"/>
          <w:szCs w:val="23"/>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173355</wp:posOffset>
                </wp:positionV>
                <wp:extent cx="57277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572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49D4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pUtwEAAMMDAAAOAAAAZHJzL2Uyb0RvYy54bWysU8GOEzEMvSPxD1HudKaVoGjU6R662r0g&#10;qFj4gGzG6URK4sgJ7fTvcdJ2FgESAnHxxImf7ffs2dxN3okjULIYerlctFJA0DjYcOjl1y8Pb95L&#10;kbIKg3IYoJdnSPJu+/rV5hQ7WOGIbgASnCSk7hR7OeYcu6ZJegSv0gIjBH40SF5ldunQDKROnN27&#10;ZtW275oT0hAJNaTEt/eXR7mt+Y0BnT8ZkyAL10vuLVdL1T4X22w3qjuQiqPV1zbUP3ThlQ1cdE51&#10;r7IS38j+kspbTZjQ5IVG36AxVkPlwGyW7U9snkYVoXJhcVKcZUr/L63+eNyTsEMvV1IE5XlET5mU&#10;PYxZ7DAEFhBJrIpOp5g6Dt+FPV29FPdUSE+GfPkyHTFVbc+ztjBlofny7Xq1Xrc8An17a16AkVJ+&#10;BPSiHHrpbCi0VaeOH1LmYhx6C2GnNHIpXU/57KAEu/AZDFPhYsuKrksEO0fiqHj8SmsIeVmocL4a&#10;XWDGOjcD2z8Dr/EFCnXB/gY8I2plDHkGexuQflc9T7eWzSX+psCFd5HgGYdzHUqVhjelMrxudVnF&#10;H/0Kf/n3tt8BAAD//wMAUEsDBBQABgAIAAAAIQA4R2M23wAAAAgBAAAPAAAAZHJzL2Rvd25yZXYu&#10;eG1sTI9PS8NAEMXvgt9hGcFbu2sE/8RsSimItSDFKtTjNjsm0exs2N026bd3igc9znuPN79XzEbX&#10;iQOG2HrScDVVIJAqb1uqNby/PU7uQMRkyJrOE2o4YoRZeX5WmNz6gV7xsEm14BKKudHQpNTnUsaq&#10;QWfi1PdI7H364EziM9TSBjNwuetkptSNdKYl/tCYHhcNVt+bvdPwEpbLxXx1/KL1hxu22Wq7fh6f&#10;tL68GOcPIBKO6S8MJ3xGh5KZdn5PNopOwyTjKUlDdnsNgv17pVjY/QqyLOT/AeUPAAAA//8DAFBL&#10;AQItABQABgAIAAAAIQC2gziS/gAAAOEBAAATAAAAAAAAAAAAAAAAAAAAAABbQ29udGVudF9UeXBl&#10;c10ueG1sUEsBAi0AFAAGAAgAAAAhADj9If/WAAAAlAEAAAsAAAAAAAAAAAAAAAAALwEAAF9yZWxz&#10;Ly5yZWxzUEsBAi0AFAAGAAgAAAAhANEiilS3AQAAwwMAAA4AAAAAAAAAAAAAAAAALgIAAGRycy9l&#10;Mm9Eb2MueG1sUEsBAi0AFAAGAAgAAAAhADhHYzbfAAAACAEAAA8AAAAAAAAAAAAAAAAAEQQAAGRy&#10;cy9kb3ducmV2LnhtbFBLBQYAAAAABAAEAPMAAAAdBQAAAAA=&#10;" strokecolor="#5b9bd5 [3204]" strokeweight=".5pt">
                <v:stroke joinstyle="miter"/>
              </v:line>
            </w:pict>
          </mc:Fallback>
        </mc:AlternateContent>
      </w:r>
    </w:p>
    <w:p w:rsidR="009B2725" w:rsidRPr="009B2725" w:rsidRDefault="009B2725" w:rsidP="009B2725">
      <w:pPr>
        <w:rPr>
          <w:sz w:val="23"/>
          <w:szCs w:val="23"/>
        </w:rPr>
      </w:pPr>
    </w:p>
    <w:p w:rsidR="00305BBE" w:rsidRPr="00615AD2" w:rsidRDefault="00305BBE" w:rsidP="00305BBE">
      <w:pPr>
        <w:rPr>
          <w:b/>
          <w:sz w:val="23"/>
          <w:szCs w:val="23"/>
        </w:rPr>
      </w:pPr>
      <w:r w:rsidRPr="00615AD2">
        <w:rPr>
          <w:b/>
          <w:sz w:val="23"/>
          <w:szCs w:val="23"/>
        </w:rPr>
        <w:t>Section 2. Definitions</w:t>
      </w:r>
    </w:p>
    <w:p w:rsidR="00305BBE" w:rsidRPr="00615AD2" w:rsidRDefault="00305BBE" w:rsidP="00305BBE">
      <w:pPr>
        <w:rPr>
          <w:sz w:val="23"/>
          <w:szCs w:val="23"/>
        </w:rPr>
      </w:pPr>
    </w:p>
    <w:p w:rsidR="00305BBE" w:rsidRPr="00615AD2" w:rsidRDefault="00305BBE" w:rsidP="00305BBE">
      <w:pPr>
        <w:rPr>
          <w:sz w:val="23"/>
          <w:szCs w:val="23"/>
        </w:rPr>
      </w:pPr>
      <w:r w:rsidRPr="00615AD2">
        <w:rPr>
          <w:sz w:val="23"/>
          <w:szCs w:val="23"/>
        </w:rPr>
        <w:t>“Coldwater Fish Resource (CFR)” means a waterbody (stream, river, or tributary thereto) with documented populations of wild brown trout (</w:t>
      </w:r>
      <w:r w:rsidRPr="00615AD2">
        <w:rPr>
          <w:i/>
          <w:sz w:val="23"/>
          <w:szCs w:val="23"/>
        </w:rPr>
        <w:t xml:space="preserve">Salmo </w:t>
      </w:r>
      <w:proofErr w:type="spellStart"/>
      <w:r w:rsidRPr="00615AD2">
        <w:rPr>
          <w:i/>
          <w:sz w:val="23"/>
          <w:szCs w:val="23"/>
        </w:rPr>
        <w:t>trutta</w:t>
      </w:r>
      <w:proofErr w:type="spellEnd"/>
      <w:r w:rsidRPr="00615AD2">
        <w:rPr>
          <w:sz w:val="23"/>
          <w:szCs w:val="23"/>
        </w:rPr>
        <w:t>) or wild brook trout (</w:t>
      </w:r>
      <w:proofErr w:type="spellStart"/>
      <w:r w:rsidRPr="00615AD2">
        <w:rPr>
          <w:i/>
          <w:sz w:val="23"/>
          <w:szCs w:val="23"/>
        </w:rPr>
        <w:t>Salvelinus</w:t>
      </w:r>
      <w:proofErr w:type="spellEnd"/>
      <w:r w:rsidRPr="00615AD2">
        <w:rPr>
          <w:i/>
          <w:sz w:val="23"/>
          <w:szCs w:val="23"/>
        </w:rPr>
        <w:t xml:space="preserve"> </w:t>
      </w:r>
      <w:proofErr w:type="spellStart"/>
      <w:r w:rsidRPr="00615AD2">
        <w:rPr>
          <w:i/>
          <w:sz w:val="23"/>
          <w:szCs w:val="23"/>
        </w:rPr>
        <w:t>fontinalis</w:t>
      </w:r>
      <w:proofErr w:type="spellEnd"/>
      <w:r w:rsidRPr="00615AD2">
        <w:rPr>
          <w:sz w:val="23"/>
          <w:szCs w:val="23"/>
        </w:rPr>
        <w:t xml:space="preserve">) as documented by CT DEEP in the last ten (10) years. </w:t>
      </w:r>
    </w:p>
    <w:p w:rsidR="00305BBE" w:rsidRPr="00615AD2" w:rsidRDefault="00305BBE" w:rsidP="00305BBE">
      <w:pPr>
        <w:rPr>
          <w:sz w:val="23"/>
          <w:szCs w:val="23"/>
        </w:rPr>
      </w:pPr>
    </w:p>
    <w:p w:rsidR="00305BBE" w:rsidRPr="00615AD2" w:rsidRDefault="00305BBE" w:rsidP="00305BBE">
      <w:pPr>
        <w:rPr>
          <w:sz w:val="23"/>
          <w:szCs w:val="23"/>
        </w:rPr>
      </w:pPr>
      <w:r w:rsidRPr="00615AD2">
        <w:rPr>
          <w:b/>
          <w:sz w:val="23"/>
          <w:szCs w:val="23"/>
        </w:rPr>
        <w:t>Section 5. Conditions of This General Permit</w:t>
      </w:r>
    </w:p>
    <w:p w:rsidR="00305BBE" w:rsidRPr="00615AD2" w:rsidRDefault="00305BBE" w:rsidP="00305BBE">
      <w:pPr>
        <w:rPr>
          <w:sz w:val="23"/>
          <w:szCs w:val="23"/>
        </w:rPr>
      </w:pPr>
    </w:p>
    <w:p w:rsidR="00305BBE" w:rsidRPr="00615AD2" w:rsidRDefault="00305BBE" w:rsidP="00305BBE">
      <w:pPr>
        <w:rPr>
          <w:sz w:val="23"/>
          <w:szCs w:val="23"/>
        </w:rPr>
      </w:pPr>
      <w:r w:rsidRPr="00615AD2">
        <w:rPr>
          <w:sz w:val="23"/>
          <w:szCs w:val="23"/>
        </w:rPr>
        <w:t>(a)General Conditions</w:t>
      </w:r>
    </w:p>
    <w:p w:rsidR="00305BBE" w:rsidRPr="00615AD2" w:rsidRDefault="00305BBE" w:rsidP="00305BBE">
      <w:pPr>
        <w:rPr>
          <w:sz w:val="23"/>
          <w:szCs w:val="23"/>
        </w:rPr>
      </w:pPr>
    </w:p>
    <w:p w:rsidR="00305BBE" w:rsidRPr="00615AD2" w:rsidRDefault="00305BBE" w:rsidP="00305BBE">
      <w:pPr>
        <w:rPr>
          <w:sz w:val="23"/>
          <w:szCs w:val="23"/>
        </w:rPr>
      </w:pPr>
      <w:r w:rsidRPr="00615AD2">
        <w:rPr>
          <w:sz w:val="23"/>
          <w:szCs w:val="23"/>
        </w:rPr>
        <w:t>(4) Impacts to Coldwater Fish Resources (CFRs)</w:t>
      </w:r>
    </w:p>
    <w:p w:rsidR="00305BBE" w:rsidRPr="00615AD2" w:rsidRDefault="00305BBE" w:rsidP="00305BBE">
      <w:pPr>
        <w:rPr>
          <w:sz w:val="23"/>
          <w:szCs w:val="23"/>
        </w:rPr>
      </w:pPr>
    </w:p>
    <w:p w:rsidR="00305BBE" w:rsidRPr="00615AD2" w:rsidRDefault="00305BBE" w:rsidP="00305BBE">
      <w:pPr>
        <w:rPr>
          <w:sz w:val="23"/>
          <w:szCs w:val="23"/>
        </w:rPr>
      </w:pPr>
      <w:r w:rsidRPr="00615AD2">
        <w:rPr>
          <w:sz w:val="23"/>
          <w:szCs w:val="23"/>
        </w:rPr>
        <w:t xml:space="preserve">A one-hundred (100) foot buffer shall be maintained between any project and a CFR. The buffer shall consist of undisturbed </w:t>
      </w:r>
      <w:r>
        <w:rPr>
          <w:sz w:val="23"/>
          <w:szCs w:val="23"/>
        </w:rPr>
        <w:t xml:space="preserve">soil and </w:t>
      </w:r>
      <w:r w:rsidRPr="00615AD2">
        <w:rPr>
          <w:sz w:val="23"/>
          <w:szCs w:val="23"/>
        </w:rPr>
        <w:t>existing vegetation. Fisheries data is available online through the University of Connecticut (UCONN) Connecticut Environmental Conditions Online (</w:t>
      </w:r>
      <w:proofErr w:type="spellStart"/>
      <w:r w:rsidRPr="00615AD2">
        <w:rPr>
          <w:sz w:val="23"/>
          <w:szCs w:val="23"/>
        </w:rPr>
        <w:t>CTECO</w:t>
      </w:r>
      <w:proofErr w:type="spellEnd"/>
      <w:r w:rsidRPr="00615AD2">
        <w:rPr>
          <w:sz w:val="23"/>
          <w:szCs w:val="23"/>
        </w:rPr>
        <w:t>) or by contacting CT DEEP Inland Fisheries.</w:t>
      </w:r>
    </w:p>
    <w:p w:rsidR="00305BBE" w:rsidRPr="00615AD2" w:rsidRDefault="00305BBE" w:rsidP="00305BBE">
      <w:pPr>
        <w:rPr>
          <w:sz w:val="23"/>
          <w:szCs w:val="23"/>
        </w:rPr>
      </w:pPr>
    </w:p>
    <w:p w:rsidR="00305BBE" w:rsidRPr="00615AD2" w:rsidRDefault="00305BBE" w:rsidP="00305BBE">
      <w:pPr>
        <w:rPr>
          <w:sz w:val="23"/>
          <w:szCs w:val="23"/>
        </w:rPr>
      </w:pPr>
      <w:r w:rsidRPr="00615AD2">
        <w:rPr>
          <w:sz w:val="23"/>
          <w:szCs w:val="23"/>
        </w:rPr>
        <w:t>(</w:t>
      </w:r>
      <w:proofErr w:type="gramStart"/>
      <w:r w:rsidRPr="00615AD2">
        <w:rPr>
          <w:sz w:val="23"/>
          <w:szCs w:val="23"/>
        </w:rPr>
        <w:t>b</w:t>
      </w:r>
      <w:proofErr w:type="gramEnd"/>
      <w:r w:rsidRPr="00615AD2">
        <w:rPr>
          <w:sz w:val="23"/>
          <w:szCs w:val="23"/>
        </w:rPr>
        <w:t>) Stormwater Pollution Control Plan</w:t>
      </w:r>
    </w:p>
    <w:p w:rsidR="00305BBE" w:rsidRPr="00615AD2" w:rsidRDefault="00305BBE" w:rsidP="00305BBE">
      <w:pPr>
        <w:rPr>
          <w:sz w:val="23"/>
          <w:szCs w:val="23"/>
        </w:rPr>
      </w:pPr>
    </w:p>
    <w:p w:rsidR="00305BBE" w:rsidRPr="00615AD2" w:rsidRDefault="00305BBE" w:rsidP="00305BBE">
      <w:pPr>
        <w:rPr>
          <w:sz w:val="23"/>
          <w:szCs w:val="23"/>
        </w:rPr>
      </w:pPr>
      <w:r w:rsidRPr="00615AD2">
        <w:rPr>
          <w:sz w:val="23"/>
          <w:szCs w:val="23"/>
        </w:rPr>
        <w:t>(2) Stormwater Control Measures</w:t>
      </w:r>
    </w:p>
    <w:p w:rsidR="00305BBE" w:rsidRPr="00615AD2" w:rsidRDefault="00305BBE" w:rsidP="00305BBE">
      <w:pPr>
        <w:rPr>
          <w:sz w:val="23"/>
          <w:szCs w:val="23"/>
        </w:rPr>
      </w:pPr>
    </w:p>
    <w:p w:rsidR="00305BBE" w:rsidRPr="00615AD2" w:rsidRDefault="00305BBE" w:rsidP="00305BBE">
      <w:pPr>
        <w:rPr>
          <w:sz w:val="23"/>
          <w:szCs w:val="23"/>
        </w:rPr>
      </w:pPr>
      <w:r w:rsidRPr="00615AD2">
        <w:rPr>
          <w:sz w:val="23"/>
          <w:szCs w:val="23"/>
        </w:rPr>
        <w:t>(D) Other Controls</w:t>
      </w:r>
    </w:p>
    <w:p w:rsidR="00305BBE" w:rsidRPr="00615AD2" w:rsidRDefault="00305BBE" w:rsidP="00305BBE">
      <w:pPr>
        <w:rPr>
          <w:sz w:val="23"/>
          <w:szCs w:val="23"/>
        </w:rPr>
      </w:pPr>
    </w:p>
    <w:p w:rsidR="00305BBE" w:rsidRPr="00615AD2" w:rsidRDefault="00305BBE" w:rsidP="00305BBE">
      <w:pPr>
        <w:rPr>
          <w:sz w:val="23"/>
          <w:szCs w:val="23"/>
        </w:rPr>
      </w:pPr>
      <w:r w:rsidRPr="00615AD2">
        <w:rPr>
          <w:sz w:val="23"/>
          <w:szCs w:val="23"/>
        </w:rPr>
        <w:t xml:space="preserve">The one-hundred (100) foot buffer adjacent to any CFR must be maintained post-construction and supplemented with additional plantings as necessary to maintain the canopy/stream cove </w:t>
      </w:r>
    </w:p>
    <w:p w:rsidR="00305BBE" w:rsidRDefault="00305BBE" w:rsidP="00305BBE"/>
    <w:p w:rsidR="009B2725" w:rsidRPr="00615AD2" w:rsidRDefault="009B2725" w:rsidP="00305BBE">
      <w:r>
        <w:rPr>
          <w:noProof/>
          <w:sz w:val="23"/>
          <w:szCs w:val="23"/>
        </w:rPr>
        <mc:AlternateContent>
          <mc:Choice Requires="wps">
            <w:drawing>
              <wp:anchor distT="0" distB="0" distL="114300" distR="114300" simplePos="0" relativeHeight="251661312" behindDoc="0" locked="0" layoutInCell="1" allowOverlap="1" wp14:anchorId="6DD351CC" wp14:editId="5EF5E862">
                <wp:simplePos x="0" y="0"/>
                <wp:positionH relativeFrom="column">
                  <wp:posOffset>0</wp:posOffset>
                </wp:positionH>
                <wp:positionV relativeFrom="paragraph">
                  <wp:posOffset>0</wp:posOffset>
                </wp:positionV>
                <wp:extent cx="57277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572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D85C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mWtwEAAMMDAAAOAAAAZHJzL2Uyb0RvYy54bWysU8GOEzEMvSPxD1HudKZdQdGo0z10BRcE&#10;FQsfkM04nUhJHDmh0/49TtrOIkBCIC6eOPGz/Z49m/uTd+IIlCyGXi4XrRQQNA42HHr59cu7V2+l&#10;SFmFQTkM0MszJHm/ffliM8UOVjiiG4AEJwmpm2Ivx5xj1zRJj+BVWmCEwI8GyavMLh2agdTE2b1r&#10;Vm37ppmQhkioISW+fbg8ym3Nbwzo/MmYBFm4XnJvuVqq9qnYZrtR3YFUHK2+tqH+oQuvbOCic6oH&#10;lZX4RvaXVN5qwoQmLzT6Bo2xGioHZrNsf2LzOKoIlQuLk+IsU/p/afXH456EHXp5J0VQnkf0mEnZ&#10;w5jFDkNgAZHEXdFpiqnj8F3Y09VLcU+F9MmQL1+mI05V2/OsLZyy0Hz5er1ar1segb69Nc/ASCm/&#10;B/SiHHrpbCi0VaeOH1LmYhx6C2GnNHIpXU/57KAEu/AZDFPhYsuKrksEO0fiqHj8SmsIeVmocL4a&#10;XWDGOjcD2z8Dr/EFCnXB/gY8I2plDHkGexuQflc9n24tm0v8TYEL7yLBEw7nOpQqDW9KZXjd6rKK&#10;P/oV/vzvbb8DAAD//wMAUEsDBBQABgAIAAAAIQCaZMi+2QAAAAIBAAAPAAAAZHJzL2Rvd25yZXYu&#10;eG1sTI/BasJAEIbvhb7DMkJvdWMOpU2zERFKrVCktqDHNTsmabOzYXc18e0dvdjLwMc//PNNPh1s&#10;K47oQ+NIwWScgEAqnWmoUvDz/fb4DCJETUa3jlDBCQNMi/u7XGfG9fSFx3WsBJdQyLSCOsYukzKU&#10;NVodxq5D4mzvvNWR0VfSeN1zuW1lmiRP0uqG+EKtO5zXWP6tD1bBp18s5rPl6ZdWW9tv0uVm9TG8&#10;K/UwGmavICIO8bYMF31Wh4Kddu5AJohWAT8Sr5OzlyRl3F1QFrn8r16cAQAA//8DAFBLAQItABQA&#10;BgAIAAAAIQC2gziS/gAAAOEBAAATAAAAAAAAAAAAAAAAAAAAAABbQ29udGVudF9UeXBlc10ueG1s&#10;UEsBAi0AFAAGAAgAAAAhADj9If/WAAAAlAEAAAsAAAAAAAAAAAAAAAAALwEAAF9yZWxzLy5yZWxz&#10;UEsBAi0AFAAGAAgAAAAhAD1XqZa3AQAAwwMAAA4AAAAAAAAAAAAAAAAALgIAAGRycy9lMm9Eb2Mu&#10;eG1sUEsBAi0AFAAGAAgAAAAhAJpkyL7ZAAAAAgEAAA8AAAAAAAAAAAAAAAAAEQQAAGRycy9kb3du&#10;cmV2LnhtbFBLBQYAAAAABAAEAPMAAAAXBQAAAAA=&#10;" strokecolor="#5b9bd5 [3204]" strokeweight=".5pt">
                <v:stroke joinstyle="miter"/>
              </v:line>
            </w:pict>
          </mc:Fallback>
        </mc:AlternateContent>
      </w:r>
    </w:p>
    <w:p w:rsidR="00305BBE" w:rsidRPr="00615AD2" w:rsidRDefault="00305BBE" w:rsidP="00305BBE">
      <w:pPr>
        <w:rPr>
          <w:i/>
          <w:sz w:val="23"/>
          <w:szCs w:val="23"/>
          <w:shd w:val="clear" w:color="auto" w:fill="FFFFFF"/>
        </w:rPr>
      </w:pPr>
      <w:r w:rsidRPr="00615AD2">
        <w:rPr>
          <w:sz w:val="23"/>
          <w:szCs w:val="23"/>
        </w:rPr>
        <w:t>CFRs are particularly sensitive to landscape modifications in riparian corridors. These include decreases in canopy cover</w:t>
      </w:r>
      <w:r>
        <w:rPr>
          <w:sz w:val="23"/>
          <w:szCs w:val="23"/>
        </w:rPr>
        <w:t xml:space="preserve"> and modifications to cold</w:t>
      </w:r>
      <w:r w:rsidRPr="00615AD2">
        <w:rPr>
          <w:sz w:val="23"/>
          <w:szCs w:val="23"/>
        </w:rPr>
        <w:t>water seeps and springs that maintain</w:t>
      </w:r>
      <w:r>
        <w:rPr>
          <w:sz w:val="23"/>
          <w:szCs w:val="23"/>
        </w:rPr>
        <w:t xml:space="preserve"> the cold</w:t>
      </w:r>
      <w:r w:rsidRPr="00615AD2">
        <w:rPr>
          <w:sz w:val="23"/>
          <w:szCs w:val="23"/>
        </w:rPr>
        <w:t>water CFR species require</w:t>
      </w:r>
      <w:r w:rsidR="009B2725">
        <w:rPr>
          <w:sz w:val="23"/>
          <w:szCs w:val="23"/>
        </w:rPr>
        <w:t>.</w:t>
      </w:r>
      <w:r w:rsidRPr="00615AD2">
        <w:rPr>
          <w:i/>
          <w:sz w:val="23"/>
          <w:szCs w:val="23"/>
          <w:shd w:val="clear" w:color="auto" w:fill="FFFFFF"/>
        </w:rPr>
        <w:t xml:space="preserve"> </w:t>
      </w:r>
    </w:p>
    <w:p w:rsidR="00305BBE" w:rsidRPr="00615AD2" w:rsidRDefault="00305BBE" w:rsidP="00305BBE">
      <w:pPr>
        <w:pStyle w:val="ListParagraph"/>
        <w:rPr>
          <w:sz w:val="23"/>
          <w:szCs w:val="23"/>
          <w:shd w:val="clear" w:color="auto" w:fill="FFFFFF"/>
        </w:rPr>
      </w:pPr>
    </w:p>
    <w:p w:rsidR="00305BBE" w:rsidRPr="00615AD2" w:rsidRDefault="00305BBE" w:rsidP="00305BBE">
      <w:pPr>
        <w:rPr>
          <w:sz w:val="23"/>
          <w:szCs w:val="23"/>
        </w:rPr>
      </w:pPr>
      <w:r w:rsidRPr="00615AD2">
        <w:rPr>
          <w:sz w:val="23"/>
          <w:szCs w:val="23"/>
        </w:rPr>
        <w:lastRenderedPageBreak/>
        <w:t>The one-hundred (100) foot buffer proposed in Appendix I is a commendable step forward in reducing the impacts of solar projects on wetland, watercourses, and vernal pools. However, the impacts of clearing and development are not limited to solar projects. All development has the potential to impact wetlands, watercourses, and vernal pools. CFRs are particularly sensitive to landscape modifications along riparian corridors and a single development site has the potential to irreversibly change a watercourse. These impacts to CFRs cannot not be mitigated/replicated elsewhere like a wetland or vernal pool. Once th</w:t>
      </w:r>
      <w:r>
        <w:rPr>
          <w:sz w:val="23"/>
          <w:szCs w:val="23"/>
        </w:rPr>
        <w:t>e thermal properties of a watercourse</w:t>
      </w:r>
      <w:r w:rsidRPr="00615AD2">
        <w:rPr>
          <w:sz w:val="23"/>
          <w:szCs w:val="23"/>
        </w:rPr>
        <w:t xml:space="preserve"> are changed (and the species extirpated), it cannot not be reversed. </w:t>
      </w:r>
    </w:p>
    <w:p w:rsidR="00305BBE" w:rsidRPr="00615AD2" w:rsidRDefault="00305BBE" w:rsidP="00305BBE">
      <w:pPr>
        <w:rPr>
          <w:sz w:val="23"/>
          <w:szCs w:val="23"/>
        </w:rPr>
      </w:pPr>
    </w:p>
    <w:p w:rsidR="00305BBE" w:rsidRPr="00615AD2" w:rsidRDefault="00912BD1" w:rsidP="00305BBE">
      <w:pPr>
        <w:rPr>
          <w:sz w:val="23"/>
          <w:szCs w:val="23"/>
        </w:rPr>
      </w:pPr>
      <w:r>
        <w:rPr>
          <w:sz w:val="23"/>
          <w:szCs w:val="23"/>
        </w:rPr>
        <w:t xml:space="preserve">I </w:t>
      </w:r>
      <w:r w:rsidR="00305BBE">
        <w:rPr>
          <w:sz w:val="23"/>
          <w:szCs w:val="23"/>
        </w:rPr>
        <w:t xml:space="preserve">am in full support of the </w:t>
      </w:r>
      <w:r w:rsidR="00305BBE" w:rsidRPr="00615AD2">
        <w:rPr>
          <w:sz w:val="23"/>
          <w:szCs w:val="23"/>
        </w:rPr>
        <w:t>CT Council of Trout Unlimited</w:t>
      </w:r>
      <w:r w:rsidR="009B2725">
        <w:rPr>
          <w:sz w:val="23"/>
          <w:szCs w:val="23"/>
        </w:rPr>
        <w:t>’s proposed amendments</w:t>
      </w:r>
      <w:r w:rsidR="00305BBE">
        <w:rPr>
          <w:sz w:val="23"/>
          <w:szCs w:val="23"/>
        </w:rPr>
        <w:t xml:space="preserve"> </w:t>
      </w:r>
      <w:r>
        <w:rPr>
          <w:sz w:val="23"/>
          <w:szCs w:val="23"/>
        </w:rPr>
        <w:t>which they have submitted to you and the Department</w:t>
      </w:r>
      <w:r w:rsidR="00305BBE" w:rsidRPr="00615AD2">
        <w:rPr>
          <w:sz w:val="23"/>
          <w:szCs w:val="23"/>
        </w:rPr>
        <w:t xml:space="preserve">. </w:t>
      </w:r>
      <w:r w:rsidR="00305BBE">
        <w:rPr>
          <w:sz w:val="23"/>
          <w:szCs w:val="23"/>
        </w:rPr>
        <w:t>CFRs, and the species they support,</w:t>
      </w:r>
      <w:r w:rsidR="00305BBE" w:rsidRPr="00615AD2">
        <w:rPr>
          <w:sz w:val="23"/>
          <w:szCs w:val="23"/>
        </w:rPr>
        <w:t xml:space="preserve"> are increasingly threatened by warming trends and precipitation fluctuations in the Connecticut climate</w:t>
      </w:r>
      <w:r w:rsidR="00305BBE">
        <w:rPr>
          <w:sz w:val="23"/>
          <w:szCs w:val="23"/>
        </w:rPr>
        <w:t>, and require speci</w:t>
      </w:r>
      <w:bookmarkStart w:id="0" w:name="_GoBack"/>
      <w:bookmarkEnd w:id="0"/>
      <w:r w:rsidR="00305BBE">
        <w:rPr>
          <w:sz w:val="23"/>
          <w:szCs w:val="23"/>
        </w:rPr>
        <w:t>al protections</w:t>
      </w:r>
      <w:r w:rsidR="00305BBE" w:rsidRPr="00615AD2">
        <w:rPr>
          <w:sz w:val="23"/>
          <w:szCs w:val="23"/>
        </w:rPr>
        <w:t>.</w:t>
      </w:r>
      <w:r w:rsidR="00305BBE">
        <w:rPr>
          <w:sz w:val="23"/>
          <w:szCs w:val="23"/>
        </w:rPr>
        <w:t xml:space="preserve"> </w:t>
      </w:r>
      <w:r w:rsidR="00305BBE" w:rsidRPr="00615AD2">
        <w:rPr>
          <w:sz w:val="23"/>
          <w:szCs w:val="23"/>
        </w:rPr>
        <w:t>Thank you for your time</w:t>
      </w:r>
      <w:r w:rsidR="00305BBE">
        <w:rPr>
          <w:sz w:val="23"/>
          <w:szCs w:val="23"/>
        </w:rPr>
        <w:t xml:space="preserve">. </w:t>
      </w:r>
      <w:r w:rsidR="00305BBE" w:rsidRPr="00615AD2">
        <w:rPr>
          <w:sz w:val="23"/>
          <w:szCs w:val="23"/>
        </w:rPr>
        <w:t xml:space="preserve"> </w:t>
      </w:r>
    </w:p>
    <w:p w:rsidR="00305BBE" w:rsidRPr="00615AD2" w:rsidRDefault="00305BBE" w:rsidP="00305BBE">
      <w:pPr>
        <w:rPr>
          <w:sz w:val="23"/>
          <w:szCs w:val="23"/>
        </w:rPr>
      </w:pPr>
    </w:p>
    <w:p w:rsidR="00305BBE" w:rsidRPr="00615AD2" w:rsidRDefault="00305BBE" w:rsidP="00305BBE">
      <w:pPr>
        <w:rPr>
          <w:sz w:val="23"/>
          <w:szCs w:val="23"/>
        </w:rPr>
      </w:pPr>
    </w:p>
    <w:p w:rsidR="00305BBE" w:rsidRPr="00615AD2" w:rsidRDefault="00305BBE" w:rsidP="00305BBE">
      <w:pPr>
        <w:rPr>
          <w:sz w:val="23"/>
          <w:szCs w:val="23"/>
        </w:rPr>
      </w:pPr>
    </w:p>
    <w:p w:rsidR="00305BBE" w:rsidRPr="00615AD2" w:rsidRDefault="00305BBE" w:rsidP="00305BBE">
      <w:pPr>
        <w:rPr>
          <w:sz w:val="23"/>
          <w:szCs w:val="23"/>
        </w:rPr>
      </w:pPr>
      <w:r w:rsidRPr="00615AD2">
        <w:rPr>
          <w:sz w:val="23"/>
          <w:szCs w:val="23"/>
        </w:rPr>
        <w:tab/>
      </w:r>
      <w:r w:rsidRPr="00615AD2">
        <w:rPr>
          <w:sz w:val="23"/>
          <w:szCs w:val="23"/>
        </w:rPr>
        <w:tab/>
      </w:r>
      <w:r w:rsidRPr="00615AD2">
        <w:rPr>
          <w:sz w:val="23"/>
          <w:szCs w:val="23"/>
        </w:rPr>
        <w:tab/>
      </w:r>
      <w:r w:rsidRPr="00615AD2">
        <w:rPr>
          <w:sz w:val="23"/>
          <w:szCs w:val="23"/>
        </w:rPr>
        <w:tab/>
      </w:r>
      <w:r w:rsidRPr="00615AD2">
        <w:rPr>
          <w:sz w:val="23"/>
          <w:szCs w:val="23"/>
        </w:rPr>
        <w:tab/>
      </w:r>
      <w:r w:rsidRPr="00615AD2">
        <w:rPr>
          <w:sz w:val="23"/>
          <w:szCs w:val="23"/>
        </w:rPr>
        <w:tab/>
      </w:r>
      <w:r>
        <w:rPr>
          <w:sz w:val="23"/>
          <w:szCs w:val="23"/>
        </w:rPr>
        <w:tab/>
      </w:r>
      <w:r w:rsidRPr="00615AD2">
        <w:rPr>
          <w:sz w:val="23"/>
          <w:szCs w:val="23"/>
        </w:rPr>
        <w:t xml:space="preserve">Sincerely, </w:t>
      </w:r>
    </w:p>
    <w:p w:rsidR="00305BBE" w:rsidRDefault="00305BBE" w:rsidP="00305BBE">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305BBE" w:rsidRDefault="00305BBE" w:rsidP="00305BBE">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305BBE">
        <w:rPr>
          <w:sz w:val="23"/>
          <w:szCs w:val="23"/>
          <w:highlight w:val="yellow"/>
        </w:rPr>
        <w:t>(Signature)</w:t>
      </w:r>
    </w:p>
    <w:p w:rsidR="00305BBE" w:rsidRDefault="00305BBE" w:rsidP="00305BBE">
      <w:pPr>
        <w:rPr>
          <w:sz w:val="23"/>
          <w:szCs w:val="23"/>
        </w:rPr>
      </w:pPr>
    </w:p>
    <w:p w:rsidR="00305BBE" w:rsidRPr="00615AD2" w:rsidRDefault="00305BBE" w:rsidP="00305BBE">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305BBE">
        <w:rPr>
          <w:sz w:val="23"/>
          <w:szCs w:val="23"/>
          <w:highlight w:val="yellow"/>
        </w:rPr>
        <w:t>(Type Name)</w:t>
      </w:r>
    </w:p>
    <w:p w:rsidR="00305BBE" w:rsidRPr="00615AD2" w:rsidRDefault="00305BBE" w:rsidP="00305BBE">
      <w:pPr>
        <w:rPr>
          <w:sz w:val="23"/>
          <w:szCs w:val="23"/>
        </w:rPr>
      </w:pPr>
    </w:p>
    <w:p w:rsidR="00305BBE" w:rsidRPr="00615AD2" w:rsidRDefault="00305BBE" w:rsidP="00305BBE">
      <w:pPr>
        <w:rPr>
          <w:sz w:val="23"/>
          <w:szCs w:val="23"/>
        </w:rPr>
      </w:pPr>
    </w:p>
    <w:p w:rsidR="00305BBE" w:rsidRPr="00615AD2" w:rsidRDefault="00305BBE" w:rsidP="00305BBE">
      <w:pPr>
        <w:rPr>
          <w:sz w:val="23"/>
          <w:szCs w:val="23"/>
        </w:rPr>
      </w:pPr>
    </w:p>
    <w:p w:rsidR="00305BBE" w:rsidRPr="00615AD2" w:rsidRDefault="00305BBE" w:rsidP="00305BBE">
      <w:pPr>
        <w:rPr>
          <w:sz w:val="23"/>
          <w:szCs w:val="23"/>
        </w:rPr>
      </w:pPr>
    </w:p>
    <w:p w:rsidR="00305BBE" w:rsidRPr="00615AD2" w:rsidRDefault="00305BBE" w:rsidP="00305BBE">
      <w:pPr>
        <w:rPr>
          <w:sz w:val="23"/>
          <w:szCs w:val="23"/>
        </w:rPr>
      </w:pPr>
    </w:p>
    <w:sectPr w:rsidR="00305BBE" w:rsidRPr="00615AD2" w:rsidSect="00273973">
      <w:headerReference w:type="default" r:id="rId7"/>
      <w:footerReference w:type="default" r:id="rId8"/>
      <w:pgSz w:w="12240" w:h="15840"/>
      <w:pgMar w:top="1440" w:right="1800" w:bottom="1350" w:left="1800" w:header="720" w:footer="4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5EE" w:rsidRDefault="006315EE" w:rsidP="00305BBE">
      <w:r>
        <w:separator/>
      </w:r>
    </w:p>
  </w:endnote>
  <w:endnote w:type="continuationSeparator" w:id="0">
    <w:p w:rsidR="006315EE" w:rsidRDefault="006315EE" w:rsidP="0030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49D" w:rsidRPr="00973E01" w:rsidRDefault="00E03EFF" w:rsidP="00973E01">
    <w:pPr>
      <w:pStyle w:val="Footer"/>
      <w:rPr>
        <w:i/>
        <w:color w:val="003A70"/>
      </w:rPr>
    </w:pPr>
    <w:r w:rsidRPr="0004249D">
      <w:rPr>
        <w:i/>
        <w:color w:val="003A70"/>
      </w:rPr>
      <w:t>------------------------------------------------------------------------------------------------------------</w:t>
    </w:r>
    <w:r>
      <w:rPr>
        <w:i/>
        <w:color w:val="003A70"/>
      </w:rPr>
      <w:br/>
    </w:r>
  </w:p>
  <w:p w:rsidR="0004249D" w:rsidRPr="0004249D" w:rsidRDefault="00E03EFF" w:rsidP="0004249D">
    <w:pPr>
      <w:pStyle w:val="Footer"/>
      <w:jc w:val="center"/>
      <w:rPr>
        <w:i/>
        <w:color w:val="003A70"/>
      </w:rPr>
    </w:pPr>
    <w:r w:rsidRPr="0004249D">
      <w:rPr>
        <w:i/>
        <w:color w:val="003A70"/>
      </w:rPr>
      <w:t>www.</w:t>
    </w:r>
    <w:r>
      <w:rPr>
        <w:i/>
        <w:color w:val="003A70"/>
      </w:rPr>
      <w:t>cttrout.org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5EE" w:rsidRDefault="006315EE" w:rsidP="00305BBE">
      <w:r>
        <w:separator/>
      </w:r>
    </w:p>
  </w:footnote>
  <w:footnote w:type="continuationSeparator" w:id="0">
    <w:p w:rsidR="006315EE" w:rsidRDefault="006315EE" w:rsidP="00305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E9" w:rsidRDefault="00E03EFF" w:rsidP="006C3FE9">
    <w:pPr>
      <w:pStyle w:val="Header"/>
      <w:ind w:left="-990"/>
    </w:pPr>
    <w:r>
      <w:rPr>
        <w:noProof/>
      </w:rPr>
      <mc:AlternateContent>
        <mc:Choice Requires="wps">
          <w:drawing>
            <wp:anchor distT="0" distB="0" distL="114300" distR="114300" simplePos="0" relativeHeight="251659264" behindDoc="0" locked="0" layoutInCell="1" allowOverlap="1" wp14:anchorId="1E0A6BBB" wp14:editId="10D39D82">
              <wp:simplePos x="0" y="0"/>
              <wp:positionH relativeFrom="column">
                <wp:posOffset>95250</wp:posOffset>
              </wp:positionH>
              <wp:positionV relativeFrom="paragraph">
                <wp:posOffset>38100</wp:posOffset>
              </wp:positionV>
              <wp:extent cx="6153150" cy="8458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45820"/>
                      </a:xfrm>
                      <a:prstGeom prst="rect">
                        <a:avLst/>
                      </a:prstGeom>
                      <a:solidFill>
                        <a:srgbClr val="FFFFFF"/>
                      </a:solidFill>
                      <a:ln w="9525">
                        <a:noFill/>
                        <a:miter lim="800000"/>
                        <a:headEnd/>
                        <a:tailEnd/>
                      </a:ln>
                    </wps:spPr>
                    <wps:txbx>
                      <w:txbxContent>
                        <w:p w:rsidR="006C3FE9" w:rsidRPr="009B7513" w:rsidRDefault="006315E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A6BBB" id="_x0000_t202" coordsize="21600,21600" o:spt="202" path="m,l,21600r21600,l21600,xe">
              <v:stroke joinstyle="miter"/>
              <v:path gradientshapeok="t" o:connecttype="rect"/>
            </v:shapetype>
            <v:shape id="Text Box 2" o:spid="_x0000_s1026" type="#_x0000_t202" style="position:absolute;left:0;text-align:left;margin-left:7.5pt;margin-top:3pt;width:484.5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2IAIAAB0EAAAOAAAAZHJzL2Uyb0RvYy54bWysU11v2yAUfZ+0/4B4X2yncZtacaouXaZJ&#10;3YfU7gdgjGM04DIgsbtf3wtO06h7m8YDAu7lcO65h9XNqBU5COclmJoWs5wSYTi00uxq+vNx+2FJ&#10;iQ/MtEyBETV9Ep7erN+/Ww22EnPoQbXCEQQxvhpsTfsQbJVlnvdCMz8DKwwGO3CaBdy6XdY6NiC6&#10;Vtk8zy+zAVxrHXDhPZ7eTUG6TvhdJ3j43nVeBKJqitxCml2amzhn6xWrdo7ZXvIjDfYPLDSTBh89&#10;Qd2xwMjeyb+gtOQOPHRhxkFn0HWSi1QDVlPkb6p56JkVqRYUx9uTTP7/wfJvhx+OyLamF/kVJYZp&#10;bNKjGAP5CCOZR30G6ytMe7CYGEY8xj6nWr29B/7LEwObnpmduHUOhl6wFvkV8WZ2dnXC8RGkGb5C&#10;i8+wfYAENHZOR/FQDoLo2KenU28iFY6Hl0V5UZQY4hhbLsrlPDUvY9XLbet8+CxAk7ioqcPeJ3R2&#10;uPchsmHVS0p8zIOS7VYqlTZu12yUIweGPtmmkQp4k6YMGWp6Xc7LhGwg3k8W0jKgj5XUSC6PY3JW&#10;VOOTaVNKYFJNa2SizFGeqMikTRibEROjZg20TyiUg8mv+L9w0YP7Q8mAXq2p/71nTlCivhgU+7pY&#10;LKK502ZRXqE0xJ1HmvMIMxyhahoomZabkD5E1MHALTalk0mvVyZHrujBJOPxv0STn+9T1uuvXj8D&#10;AAD//wMAUEsDBBQABgAIAAAAIQAx3eb52wAAAAgBAAAPAAAAZHJzL2Rvd25yZXYueG1sTE9NT4NA&#10;EL2b+B8208SLsYu1pQVZGjXReG3tDxhgCqTsLGG3hf57x5M9zbx5k/eRbSfbqQsNvnVs4HkegSIu&#10;XdVybeDw8/m0AeUDcoWdYzJwJQ/b/P4uw7RyI+/osg+1EhH2KRpoQuhTrX3ZkEU/dz2xcEc3WAwC&#10;h1pXA44ibju9iKJYW2xZHBrs6aOh8rQ/WwPH7/FxlYzFVzisd8v4Hdt14a7GPMymt1dQgabw/wx/&#10;8SU65JKpcGeuvOoEr6RKMBDLEDrZLGUp5P6SLEDnmb4tkP8CAAD//wMAUEsBAi0AFAAGAAgAAAAh&#10;ALaDOJL+AAAA4QEAABMAAAAAAAAAAAAAAAAAAAAAAFtDb250ZW50X1R5cGVzXS54bWxQSwECLQAU&#10;AAYACAAAACEAOP0h/9YAAACUAQAACwAAAAAAAAAAAAAAAAAvAQAAX3JlbHMvLnJlbHNQSwECLQAU&#10;AAYACAAAACEAJQ/3diACAAAdBAAADgAAAAAAAAAAAAAAAAAuAgAAZHJzL2Uyb0RvYy54bWxQSwEC&#10;LQAUAAYACAAAACEAMd3m+dsAAAAIAQAADwAAAAAAAAAAAAAAAAB6BAAAZHJzL2Rvd25yZXYueG1s&#10;UEsFBgAAAAAEAAQA8wAAAIIFAAAAAA==&#10;" stroked="f">
              <v:textbox>
                <w:txbxContent>
                  <w:p w:rsidR="006C3FE9" w:rsidRPr="009B7513" w:rsidRDefault="00E03EFF">
                    <w:pPr>
                      <w:rPr>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81B"/>
    <w:multiLevelType w:val="hybridMultilevel"/>
    <w:tmpl w:val="F3409078"/>
    <w:lvl w:ilvl="0" w:tplc="8FA881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9B0846"/>
    <w:multiLevelType w:val="hybridMultilevel"/>
    <w:tmpl w:val="FE2EC250"/>
    <w:lvl w:ilvl="0" w:tplc="C0C82F7C">
      <w:start w:val="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BE"/>
    <w:rsid w:val="00305BBE"/>
    <w:rsid w:val="00445B5E"/>
    <w:rsid w:val="006315EE"/>
    <w:rsid w:val="00912BD1"/>
    <w:rsid w:val="00951CCC"/>
    <w:rsid w:val="009B2725"/>
    <w:rsid w:val="00AB3A78"/>
    <w:rsid w:val="00E0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314DD"/>
  <w15:chartTrackingRefBased/>
  <w15:docId w15:val="{4011A401-9161-4965-A77C-E460D792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5BBE"/>
    <w:pPr>
      <w:tabs>
        <w:tab w:val="center" w:pos="4680"/>
        <w:tab w:val="right" w:pos="9360"/>
      </w:tabs>
    </w:pPr>
  </w:style>
  <w:style w:type="character" w:customStyle="1" w:styleId="HeaderChar">
    <w:name w:val="Header Char"/>
    <w:basedOn w:val="DefaultParagraphFont"/>
    <w:link w:val="Header"/>
    <w:uiPriority w:val="99"/>
    <w:rsid w:val="00305BBE"/>
    <w:rPr>
      <w:rFonts w:ascii="Times New Roman" w:eastAsia="Times New Roman" w:hAnsi="Times New Roman" w:cs="Times New Roman"/>
      <w:sz w:val="24"/>
      <w:szCs w:val="24"/>
    </w:rPr>
  </w:style>
  <w:style w:type="paragraph" w:styleId="Footer">
    <w:name w:val="footer"/>
    <w:basedOn w:val="Normal"/>
    <w:link w:val="FooterChar"/>
    <w:uiPriority w:val="99"/>
    <w:rsid w:val="00305BBE"/>
    <w:pPr>
      <w:tabs>
        <w:tab w:val="center" w:pos="4680"/>
        <w:tab w:val="right" w:pos="9360"/>
      </w:tabs>
    </w:pPr>
  </w:style>
  <w:style w:type="character" w:customStyle="1" w:styleId="FooterChar">
    <w:name w:val="Footer Char"/>
    <w:basedOn w:val="DefaultParagraphFont"/>
    <w:link w:val="Footer"/>
    <w:uiPriority w:val="99"/>
    <w:rsid w:val="00305BBE"/>
    <w:rPr>
      <w:rFonts w:ascii="Times New Roman" w:eastAsia="Times New Roman" w:hAnsi="Times New Roman" w:cs="Times New Roman"/>
      <w:sz w:val="24"/>
      <w:szCs w:val="24"/>
    </w:rPr>
  </w:style>
  <w:style w:type="paragraph" w:styleId="ListParagraph">
    <w:name w:val="List Paragraph"/>
    <w:basedOn w:val="Normal"/>
    <w:uiPriority w:val="34"/>
    <w:qFormat/>
    <w:rsid w:val="00305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 Engineering, Science, and Technology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DeCarli, Salvatore</dc:creator>
  <cp:keywords/>
  <dc:description/>
  <cp:lastModifiedBy>DeCarli, Salvatore</cp:lastModifiedBy>
  <cp:revision>3</cp:revision>
  <dcterms:created xsi:type="dcterms:W3CDTF">2020-02-06T16:22:00Z</dcterms:created>
  <dcterms:modified xsi:type="dcterms:W3CDTF">2020-02-08T01:30:00Z</dcterms:modified>
</cp:coreProperties>
</file>